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A35" w:rsidRPr="00B36E1E" w:rsidRDefault="00980D30" w:rsidP="005A326A">
      <w:pPr>
        <w:jc w:val="center"/>
        <w:rPr>
          <w:rFonts w:ascii="宋体"/>
          <w:b/>
          <w:bCs/>
          <w:sz w:val="44"/>
          <w:szCs w:val="44"/>
        </w:rPr>
      </w:pPr>
      <w:r>
        <w:rPr>
          <w:rFonts w:ascii="宋体"/>
          <w:b/>
          <w:bCs/>
          <w:sz w:val="44"/>
          <w:szCs w:val="4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AAA=
</w:fldData>
        </w:fldChar>
      </w:r>
      <w:r w:rsidR="00263A35">
        <w:rPr>
          <w:rFonts w:ascii="宋体"/>
          <w:b/>
          <w:bCs/>
          <w:sz w:val="44"/>
          <w:szCs w:val="44"/>
        </w:rPr>
        <w:instrText>ADDIN CNKISM.UserStyle</w:instrText>
      </w:r>
      <w:r>
        <w:rPr>
          <w:rFonts w:ascii="宋体"/>
          <w:b/>
          <w:bCs/>
          <w:sz w:val="44"/>
          <w:szCs w:val="44"/>
        </w:rPr>
      </w:r>
      <w:r>
        <w:rPr>
          <w:rFonts w:ascii="宋体"/>
          <w:b/>
          <w:bCs/>
          <w:sz w:val="44"/>
          <w:szCs w:val="44"/>
        </w:rPr>
        <w:fldChar w:fldCharType="end"/>
      </w:r>
    </w:p>
    <w:p w:rsidR="00263A35" w:rsidRPr="00B36E1E" w:rsidRDefault="002F731B" w:rsidP="002F731B">
      <w:pPr>
        <w:jc w:val="center"/>
        <w:rPr>
          <w:rFonts w:ascii="宋体"/>
          <w:sz w:val="36"/>
          <w:szCs w:val="36"/>
        </w:rPr>
      </w:pPr>
      <w:r w:rsidRPr="002F731B">
        <w:rPr>
          <w:rFonts w:ascii="宋体" w:hAnsi="宋体" w:hint="eastAsia"/>
          <w:b/>
          <w:bCs/>
          <w:sz w:val="44"/>
          <w:szCs w:val="44"/>
        </w:rPr>
        <w:t>《江西省展览展示设计企业资质等级评定规范》编制说明</w:t>
      </w:r>
    </w:p>
    <w:p w:rsidR="00263A35" w:rsidRPr="00B36E1E" w:rsidRDefault="00263A35" w:rsidP="00853A61">
      <w:pPr>
        <w:rPr>
          <w:rFonts w:ascii="宋体"/>
        </w:rPr>
      </w:pPr>
    </w:p>
    <w:p w:rsidR="00263A35" w:rsidRPr="00B36E1E" w:rsidRDefault="00345316" w:rsidP="00B36E1E">
      <w:pPr>
        <w:pStyle w:val="a4"/>
        <w:numPr>
          <w:ilvl w:val="0"/>
          <w:numId w:val="1"/>
        </w:numPr>
        <w:ind w:firstLineChars="0"/>
        <w:jc w:val="left"/>
        <w:rPr>
          <w:rFonts w:ascii="宋体"/>
          <w:b/>
          <w:bCs/>
          <w:sz w:val="36"/>
          <w:szCs w:val="36"/>
        </w:rPr>
      </w:pPr>
      <w:r w:rsidRPr="00345316">
        <w:rPr>
          <w:rFonts w:ascii="宋体" w:hAnsi="宋体" w:hint="eastAsia"/>
          <w:b/>
          <w:bCs/>
          <w:sz w:val="36"/>
          <w:szCs w:val="36"/>
        </w:rPr>
        <w:t>标准体系现状及编制动因</w:t>
      </w:r>
    </w:p>
    <w:p w:rsidR="00C763A1" w:rsidRDefault="00263A35" w:rsidP="00C763A1">
      <w:pPr>
        <w:rPr>
          <w:rFonts w:ascii="宋体" w:hAnsi="宋体"/>
          <w:sz w:val="28"/>
          <w:szCs w:val="28"/>
        </w:rPr>
      </w:pPr>
      <w:r w:rsidRPr="00B36E1E">
        <w:rPr>
          <w:rFonts w:ascii="宋体" w:hAnsi="宋体"/>
          <w:sz w:val="28"/>
          <w:szCs w:val="28"/>
        </w:rPr>
        <w:t xml:space="preserve">   </w:t>
      </w:r>
      <w:r w:rsidR="00BB1708">
        <w:rPr>
          <w:rFonts w:ascii="宋体" w:hAnsi="宋体" w:hint="eastAsia"/>
          <w:sz w:val="28"/>
          <w:szCs w:val="28"/>
        </w:rPr>
        <w:t xml:space="preserve">  </w:t>
      </w:r>
      <w:r w:rsidR="00C763A1" w:rsidRPr="00C763A1">
        <w:rPr>
          <w:rFonts w:ascii="宋体" w:hAnsi="宋体" w:hint="eastAsia"/>
          <w:sz w:val="28"/>
          <w:szCs w:val="28"/>
        </w:rPr>
        <w:t>截止目前为止，展览展示设计行业尚无相应的国家标准、行业标准及江西省地方标准发布。根据国家标准委办公室、商务部办公厅印发《关于加强展览业标准化工作的指导意见》和《江西省人民政府关于促进展览业改革发展的实施意见》（赣府发【2016】23号）中关于要逐步建立展览业标准体系的要求，为进一步加强展览展示设计企业管理，规范展览行业标准，满足不断发展的市场需求，促进江西会展行业健康快速的发展，受江西省商务厅会展业发展处委托，江西省会议展览业协会成立专门工作组，开始了江西省《展览展示设计企业资质等级评定规范》（以下简称《标准》）的起草工作。规范展览展示设计企业行为对企业参与展览项目招投标的资质认定具有实际的指导作用</w:t>
      </w:r>
      <w:r w:rsidR="00C763A1">
        <w:rPr>
          <w:rFonts w:ascii="宋体" w:hAnsi="宋体" w:hint="eastAsia"/>
          <w:sz w:val="28"/>
          <w:szCs w:val="28"/>
        </w:rPr>
        <w:t>。</w:t>
      </w:r>
    </w:p>
    <w:p w:rsidR="00263A35" w:rsidRPr="00B36E1E" w:rsidRDefault="00263A35" w:rsidP="004A0419">
      <w:pPr>
        <w:ind w:firstLineChars="200" w:firstLine="560"/>
        <w:rPr>
          <w:rFonts w:ascii="宋体"/>
          <w:sz w:val="28"/>
          <w:szCs w:val="28"/>
        </w:rPr>
      </w:pPr>
      <w:r w:rsidRPr="00B36E1E">
        <w:rPr>
          <w:rFonts w:ascii="宋体" w:hAnsi="宋体" w:hint="eastAsia"/>
          <w:sz w:val="28"/>
          <w:szCs w:val="28"/>
        </w:rPr>
        <w:t>在</w:t>
      </w:r>
      <w:r>
        <w:rPr>
          <w:rFonts w:ascii="宋体" w:hAnsi="宋体" w:hint="eastAsia"/>
          <w:sz w:val="28"/>
          <w:szCs w:val="28"/>
        </w:rPr>
        <w:t>规范</w:t>
      </w:r>
      <w:r w:rsidRPr="00B36E1E">
        <w:rPr>
          <w:rFonts w:ascii="宋体" w:hAnsi="宋体" w:hint="eastAsia"/>
          <w:sz w:val="28"/>
          <w:szCs w:val="28"/>
        </w:rPr>
        <w:t>起草过程中</w:t>
      </w:r>
      <w:r w:rsidRPr="00B36E1E">
        <w:rPr>
          <w:rFonts w:ascii="宋体"/>
          <w:sz w:val="28"/>
          <w:szCs w:val="28"/>
        </w:rPr>
        <w:t>,</w:t>
      </w:r>
      <w:r w:rsidRPr="00B36E1E">
        <w:rPr>
          <w:rFonts w:ascii="宋体" w:hAnsi="宋体" w:hint="eastAsia"/>
          <w:sz w:val="28"/>
          <w:szCs w:val="28"/>
        </w:rPr>
        <w:t>工作组通过广泛的调查研究，以我省会展行业运作和管理的实际情况及需求为基础，撰写了</w:t>
      </w:r>
      <w:r w:rsidR="004A0419" w:rsidRPr="004A0419">
        <w:rPr>
          <w:rFonts w:ascii="宋体" w:hAnsi="宋体" w:hint="eastAsia"/>
          <w:sz w:val="28"/>
          <w:szCs w:val="28"/>
        </w:rPr>
        <w:t>江西省展览展示设计企业资质等级评定规范</w:t>
      </w:r>
      <w:r w:rsidRPr="00B36E1E">
        <w:rPr>
          <w:rFonts w:ascii="宋体" w:hAnsi="宋体" w:hint="eastAsia"/>
          <w:sz w:val="28"/>
          <w:szCs w:val="28"/>
        </w:rPr>
        <w:t>，本</w:t>
      </w:r>
      <w:r>
        <w:rPr>
          <w:rFonts w:ascii="宋体" w:hAnsi="宋体" w:hint="eastAsia"/>
          <w:sz w:val="28"/>
          <w:szCs w:val="28"/>
        </w:rPr>
        <w:t>规范</w:t>
      </w:r>
      <w:r w:rsidRPr="00B36E1E">
        <w:rPr>
          <w:rFonts w:ascii="宋体" w:hAnsi="宋体" w:hint="eastAsia"/>
          <w:sz w:val="28"/>
          <w:szCs w:val="28"/>
        </w:rPr>
        <w:t>将适用于展览展示</w:t>
      </w:r>
      <w:r w:rsidR="00EF1138">
        <w:rPr>
          <w:rFonts w:ascii="宋体" w:hAnsi="宋体" w:hint="eastAsia"/>
          <w:sz w:val="28"/>
          <w:szCs w:val="28"/>
        </w:rPr>
        <w:t>设计</w:t>
      </w:r>
      <w:r w:rsidRPr="00B36E1E">
        <w:rPr>
          <w:rFonts w:ascii="宋体" w:hAnsi="宋体" w:hint="eastAsia"/>
          <w:sz w:val="28"/>
          <w:szCs w:val="28"/>
        </w:rPr>
        <w:t>企业的</w:t>
      </w:r>
      <w:r w:rsidR="004A0419">
        <w:rPr>
          <w:rFonts w:ascii="宋体" w:hAnsi="宋体" w:hint="eastAsia"/>
          <w:sz w:val="28"/>
          <w:szCs w:val="28"/>
        </w:rPr>
        <w:t>等级评定</w:t>
      </w:r>
      <w:r w:rsidRPr="00B36E1E">
        <w:rPr>
          <w:rFonts w:ascii="宋体" w:hAnsi="宋体" w:hint="eastAsia"/>
          <w:sz w:val="28"/>
          <w:szCs w:val="28"/>
        </w:rPr>
        <w:t>，规范展览展示</w:t>
      </w:r>
      <w:r w:rsidR="00EF1138">
        <w:rPr>
          <w:rFonts w:ascii="宋体" w:hAnsi="宋体" w:hint="eastAsia"/>
          <w:sz w:val="28"/>
          <w:szCs w:val="28"/>
        </w:rPr>
        <w:t>设计</w:t>
      </w:r>
      <w:r w:rsidRPr="00B36E1E">
        <w:rPr>
          <w:rFonts w:ascii="宋体" w:hAnsi="宋体" w:hint="eastAsia"/>
          <w:sz w:val="28"/>
          <w:szCs w:val="28"/>
        </w:rPr>
        <w:t>企业行为，公平审核评定企业，并对企业参与</w:t>
      </w:r>
      <w:r w:rsidR="00AD5F83">
        <w:rPr>
          <w:rFonts w:ascii="宋体" w:hAnsi="宋体" w:hint="eastAsia"/>
          <w:sz w:val="28"/>
          <w:szCs w:val="28"/>
        </w:rPr>
        <w:t>展示项目</w:t>
      </w:r>
      <w:r w:rsidRPr="00B36E1E">
        <w:rPr>
          <w:rFonts w:ascii="宋体" w:hAnsi="宋体" w:hint="eastAsia"/>
          <w:sz w:val="28"/>
          <w:szCs w:val="28"/>
        </w:rPr>
        <w:t>招投标的资质认定具有实际的指导作用。</w:t>
      </w:r>
    </w:p>
    <w:p w:rsidR="00263A35" w:rsidRPr="00B36E1E" w:rsidRDefault="00263A35" w:rsidP="00E727BE">
      <w:pPr>
        <w:ind w:firstLineChars="150" w:firstLine="420"/>
        <w:rPr>
          <w:rFonts w:ascii="宋体"/>
          <w:sz w:val="28"/>
          <w:szCs w:val="28"/>
        </w:rPr>
      </w:pPr>
      <w:r w:rsidRPr="00B36E1E">
        <w:rPr>
          <w:rFonts w:ascii="宋体" w:hAnsi="宋体"/>
          <w:sz w:val="28"/>
          <w:szCs w:val="28"/>
        </w:rPr>
        <w:t xml:space="preserve"> </w:t>
      </w:r>
    </w:p>
    <w:p w:rsidR="001D081B" w:rsidRPr="001D081B" w:rsidRDefault="00263A35" w:rsidP="00B36E1E">
      <w:pPr>
        <w:jc w:val="left"/>
        <w:rPr>
          <w:rFonts w:ascii="宋体" w:hAnsi="宋体"/>
          <w:b/>
          <w:bCs/>
          <w:sz w:val="36"/>
          <w:szCs w:val="36"/>
        </w:rPr>
      </w:pPr>
      <w:r w:rsidRPr="001D081B">
        <w:rPr>
          <w:rFonts w:ascii="宋体" w:hAnsi="宋体" w:hint="eastAsia"/>
          <w:b/>
          <w:bCs/>
          <w:sz w:val="36"/>
          <w:szCs w:val="36"/>
        </w:rPr>
        <w:lastRenderedPageBreak/>
        <w:t>二．</w:t>
      </w:r>
      <w:r w:rsidR="001D081B" w:rsidRPr="001D081B">
        <w:rPr>
          <w:rFonts w:ascii="宋体" w:hAnsi="宋体" w:hint="eastAsia"/>
          <w:b/>
          <w:bCs/>
          <w:sz w:val="36"/>
          <w:szCs w:val="36"/>
        </w:rPr>
        <w:t>标准制定、 实施的行业背景及可行性分析</w:t>
      </w:r>
    </w:p>
    <w:p w:rsidR="001D081B" w:rsidRPr="001D081B" w:rsidRDefault="001D081B" w:rsidP="001D081B">
      <w:pPr>
        <w:ind w:firstLineChars="200" w:firstLine="560"/>
        <w:jc w:val="left"/>
        <w:rPr>
          <w:rFonts w:ascii="宋体" w:hAnsi="宋体"/>
          <w:sz w:val="28"/>
          <w:szCs w:val="28"/>
        </w:rPr>
      </w:pPr>
      <w:r w:rsidRPr="001D081B">
        <w:rPr>
          <w:rFonts w:ascii="宋体" w:hAnsi="宋体" w:hint="eastAsia"/>
          <w:sz w:val="28"/>
          <w:szCs w:val="28"/>
        </w:rPr>
        <w:t>2015年3月国务院出台关于进一步促进展览业改革发展的若干意见[国发（2015）15号]，明确建立商务主管部门牵头的会展业管理体制。同年7月，江西省商务厅会展业发展处挂牌成立。2016年1月，江西省政府批复同意建立由江西省商务厅牵头的促进江西省展览业改革发展联席会议制度。2016年5月，《江西省人民政府关于促进展览业改革发展的实施意见》[赣府发（2016）23号]发布。按照《实施意见》要求，由江西省会议展览业协会牵头起草了《展览展示设计企业资质等级评定规范》。</w:t>
      </w:r>
    </w:p>
    <w:p w:rsidR="001D081B" w:rsidRDefault="001D081B" w:rsidP="00A100B5">
      <w:pPr>
        <w:ind w:firstLineChars="200" w:firstLine="560"/>
        <w:jc w:val="left"/>
        <w:rPr>
          <w:rFonts w:ascii="宋体" w:hAnsi="宋体"/>
          <w:sz w:val="28"/>
          <w:szCs w:val="28"/>
        </w:rPr>
      </w:pPr>
      <w:r w:rsidRPr="001D081B">
        <w:rPr>
          <w:rFonts w:ascii="宋体" w:hAnsi="宋体" w:hint="eastAsia"/>
          <w:sz w:val="28"/>
          <w:szCs w:val="28"/>
        </w:rPr>
        <w:t>该项目由江西省商务厅提出并归口， 由江西省会议展览业协会牵头起草，并报</w:t>
      </w:r>
      <w:r w:rsidR="00C33EF0" w:rsidRPr="00C33EF0">
        <w:rPr>
          <w:rFonts w:ascii="宋体" w:hAnsi="宋体" w:hint="eastAsia"/>
          <w:sz w:val="28"/>
          <w:szCs w:val="28"/>
        </w:rPr>
        <w:t>江西省标准化研究院</w:t>
      </w:r>
      <w:r w:rsidRPr="001D081B">
        <w:rPr>
          <w:rFonts w:ascii="宋体" w:hAnsi="宋体" w:hint="eastAsia"/>
          <w:sz w:val="28"/>
          <w:szCs w:val="28"/>
        </w:rPr>
        <w:t>申请立项。标准通过发布后将成立专门的资质等级认定机构展开相关评定。</w:t>
      </w:r>
    </w:p>
    <w:p w:rsidR="00A100B5" w:rsidRPr="00A100B5" w:rsidRDefault="00A100B5" w:rsidP="00A100B5">
      <w:pPr>
        <w:jc w:val="left"/>
        <w:rPr>
          <w:rFonts w:ascii="宋体" w:hAnsi="宋体"/>
          <w:b/>
          <w:bCs/>
          <w:sz w:val="36"/>
          <w:szCs w:val="36"/>
        </w:rPr>
      </w:pPr>
      <w:r>
        <w:rPr>
          <w:rFonts w:ascii="宋体" w:hAnsi="宋体" w:hint="eastAsia"/>
          <w:b/>
          <w:bCs/>
          <w:sz w:val="36"/>
          <w:szCs w:val="36"/>
        </w:rPr>
        <w:t>三</w:t>
      </w:r>
      <w:r w:rsidRPr="001D081B">
        <w:rPr>
          <w:rFonts w:ascii="宋体" w:hAnsi="宋体" w:hint="eastAsia"/>
          <w:b/>
          <w:bCs/>
          <w:sz w:val="36"/>
          <w:szCs w:val="36"/>
        </w:rPr>
        <w:t>．</w:t>
      </w:r>
      <w:r w:rsidRPr="00A100B5">
        <w:rPr>
          <w:rFonts w:ascii="宋体" w:hAnsi="宋体" w:hint="eastAsia"/>
          <w:b/>
          <w:bCs/>
          <w:sz w:val="36"/>
          <w:szCs w:val="36"/>
        </w:rPr>
        <w:t>标准制定的必要性、目的和意义</w:t>
      </w:r>
    </w:p>
    <w:p w:rsidR="001D081B" w:rsidRPr="00A100B5" w:rsidRDefault="00A100B5" w:rsidP="00B36E1E">
      <w:pPr>
        <w:jc w:val="left"/>
        <w:rPr>
          <w:rFonts w:ascii="宋体" w:hAnsi="宋体"/>
          <w:b/>
          <w:sz w:val="32"/>
          <w:szCs w:val="32"/>
        </w:rPr>
      </w:pPr>
      <w:r w:rsidRPr="00A100B5">
        <w:rPr>
          <w:rFonts w:ascii="宋体" w:hAnsi="宋体" w:hint="eastAsia"/>
          <w:b/>
          <w:sz w:val="32"/>
          <w:szCs w:val="32"/>
        </w:rPr>
        <w:t>1.标准制定的必要性</w:t>
      </w:r>
    </w:p>
    <w:p w:rsidR="00A100B5" w:rsidRDefault="00A100B5" w:rsidP="00A100B5">
      <w:pPr>
        <w:ind w:firstLineChars="200" w:firstLine="560"/>
        <w:rPr>
          <w:rFonts w:ascii="宋体"/>
          <w:sz w:val="28"/>
          <w:szCs w:val="28"/>
        </w:rPr>
      </w:pPr>
      <w:r w:rsidRPr="00E727BE">
        <w:rPr>
          <w:rFonts w:ascii="宋体" w:hint="eastAsia"/>
          <w:sz w:val="28"/>
          <w:szCs w:val="28"/>
        </w:rPr>
        <w:t xml:space="preserve">近年来，在展览展示项目实施过程中，出现这样或那样的问题， </w:t>
      </w:r>
      <w:r w:rsidR="007E3265">
        <w:rPr>
          <w:rFonts w:ascii="宋体" w:hint="eastAsia"/>
          <w:sz w:val="28"/>
          <w:szCs w:val="28"/>
        </w:rPr>
        <w:t>一个</w:t>
      </w:r>
      <w:r w:rsidRPr="00E727BE">
        <w:rPr>
          <w:rFonts w:ascii="宋体" w:hint="eastAsia"/>
          <w:sz w:val="28"/>
          <w:szCs w:val="28"/>
        </w:rPr>
        <w:t>关键的原因就在于展览展示设计水平的滞后，整个展览展示设计处在一种非专业化、非程序化和非规范化的运作中，对展览展示</w:t>
      </w:r>
      <w:r w:rsidR="00C07939">
        <w:rPr>
          <w:rFonts w:ascii="宋体" w:hint="eastAsia"/>
          <w:sz w:val="28"/>
          <w:szCs w:val="28"/>
        </w:rPr>
        <w:t>设计企业的</w:t>
      </w:r>
      <w:r w:rsidRPr="00E727BE">
        <w:rPr>
          <w:rFonts w:ascii="宋体" w:hint="eastAsia"/>
          <w:sz w:val="28"/>
          <w:szCs w:val="28"/>
        </w:rPr>
        <w:t>质量和安全产生极大隐患。因此</w:t>
      </w:r>
      <w:r>
        <w:rPr>
          <w:rFonts w:ascii="宋体" w:hint="eastAsia"/>
          <w:sz w:val="28"/>
          <w:szCs w:val="28"/>
        </w:rPr>
        <w:t>，</w:t>
      </w:r>
      <w:r w:rsidRPr="00E727BE">
        <w:rPr>
          <w:rFonts w:ascii="宋体" w:hint="eastAsia"/>
          <w:sz w:val="28"/>
          <w:szCs w:val="28"/>
        </w:rPr>
        <w:t>要确保展览内容的科学性、 艺术性以及展览设计制作工艺的严肃性、技术的可靠性、造价的合理性，必须规范展览展示设计市场，建立设计企业资质管理体系</w:t>
      </w:r>
      <w:r>
        <w:rPr>
          <w:rFonts w:ascii="宋体" w:hint="eastAsia"/>
          <w:sz w:val="28"/>
          <w:szCs w:val="28"/>
        </w:rPr>
        <w:t>，</w:t>
      </w:r>
      <w:r w:rsidRPr="00E727BE">
        <w:rPr>
          <w:rFonts w:ascii="宋体" w:hint="eastAsia"/>
          <w:sz w:val="28"/>
          <w:szCs w:val="28"/>
        </w:rPr>
        <w:t>这是当前行业发展实践中迫切需要解决的问题。</w:t>
      </w:r>
    </w:p>
    <w:p w:rsidR="00A100B5" w:rsidRPr="00927116" w:rsidRDefault="00927116" w:rsidP="00927116">
      <w:pPr>
        <w:rPr>
          <w:rFonts w:ascii="宋体" w:hAnsi="宋体"/>
          <w:b/>
          <w:sz w:val="32"/>
          <w:szCs w:val="32"/>
        </w:rPr>
      </w:pPr>
      <w:r w:rsidRPr="00927116">
        <w:rPr>
          <w:rFonts w:ascii="宋体" w:hAnsi="宋体" w:hint="eastAsia"/>
          <w:b/>
          <w:sz w:val="32"/>
          <w:szCs w:val="32"/>
        </w:rPr>
        <w:t>2.标准制定的目的和意义</w:t>
      </w:r>
    </w:p>
    <w:p w:rsidR="00927116" w:rsidRPr="00E727BE" w:rsidRDefault="00927116" w:rsidP="00F510EC">
      <w:pPr>
        <w:ind w:firstLineChars="200" w:firstLine="560"/>
        <w:rPr>
          <w:rFonts w:ascii="宋体"/>
          <w:sz w:val="28"/>
          <w:szCs w:val="28"/>
        </w:rPr>
      </w:pPr>
      <w:r w:rsidRPr="00E727BE">
        <w:rPr>
          <w:rFonts w:ascii="宋体" w:hint="eastAsia"/>
          <w:sz w:val="28"/>
          <w:szCs w:val="28"/>
        </w:rPr>
        <w:lastRenderedPageBreak/>
        <w:t>通过对江西省展览展示设计企业的资质管理</w:t>
      </w:r>
      <w:r w:rsidR="005A05CE">
        <w:rPr>
          <w:rFonts w:ascii="宋体" w:hint="eastAsia"/>
          <w:sz w:val="28"/>
          <w:szCs w:val="28"/>
        </w:rPr>
        <w:t>，</w:t>
      </w:r>
      <w:r w:rsidRPr="00E727BE">
        <w:rPr>
          <w:rFonts w:ascii="宋体" w:hint="eastAsia"/>
          <w:sz w:val="28"/>
          <w:szCs w:val="28"/>
        </w:rPr>
        <w:t>使企业注重不断提高自身业务能力,加强业务管理水平,注重科学发展</w:t>
      </w:r>
      <w:r w:rsidR="00DB52E4">
        <w:rPr>
          <w:rFonts w:ascii="宋体" w:hint="eastAsia"/>
          <w:sz w:val="28"/>
          <w:szCs w:val="28"/>
        </w:rPr>
        <w:t>、</w:t>
      </w:r>
      <w:r w:rsidRPr="00E727BE">
        <w:rPr>
          <w:rFonts w:ascii="宋体" w:hint="eastAsia"/>
          <w:sz w:val="28"/>
          <w:szCs w:val="28"/>
        </w:rPr>
        <w:t xml:space="preserve">安全发展,从而达到公平竞争, 最终达到提高会展行业发展水平的目的。该《标准》 </w:t>
      </w:r>
      <w:r w:rsidR="00DB52E4">
        <w:rPr>
          <w:rFonts w:ascii="宋体" w:hint="eastAsia"/>
          <w:sz w:val="28"/>
          <w:szCs w:val="28"/>
        </w:rPr>
        <w:t>的制定，将进一步加快提高江西省展览展示设计企业从业人员</w:t>
      </w:r>
      <w:r w:rsidRPr="00E727BE">
        <w:rPr>
          <w:rFonts w:ascii="宋体" w:hint="eastAsia"/>
          <w:sz w:val="28"/>
          <w:szCs w:val="28"/>
        </w:rPr>
        <w:t>专业技术能力和企业管理水平，从政策上培育扶植优质企业，优化展览展示市场竞争环境，在企业承揽业务、参与招投标过程中，减少市场中无序竞争，</w:t>
      </w:r>
      <w:r w:rsidR="005A05CE">
        <w:rPr>
          <w:rFonts w:ascii="宋体" w:hint="eastAsia"/>
          <w:sz w:val="28"/>
          <w:szCs w:val="28"/>
        </w:rPr>
        <w:t>提高企业竞争力，</w:t>
      </w:r>
      <w:r w:rsidRPr="00E727BE">
        <w:rPr>
          <w:rFonts w:ascii="宋体" w:hint="eastAsia"/>
          <w:sz w:val="28"/>
          <w:szCs w:val="28"/>
        </w:rPr>
        <w:t>加快企业发展步伐。</w:t>
      </w:r>
    </w:p>
    <w:p w:rsidR="00927116" w:rsidRPr="004C5841" w:rsidRDefault="002F6D32" w:rsidP="00927116">
      <w:pPr>
        <w:rPr>
          <w:rFonts w:ascii="宋体" w:hAnsi="宋体"/>
          <w:b/>
          <w:sz w:val="32"/>
          <w:szCs w:val="32"/>
        </w:rPr>
      </w:pPr>
      <w:r w:rsidRPr="004C5841">
        <w:rPr>
          <w:rFonts w:ascii="宋体" w:hAnsi="宋体" w:hint="eastAsia"/>
          <w:b/>
          <w:sz w:val="32"/>
          <w:szCs w:val="32"/>
        </w:rPr>
        <w:t>3.标准起草的过程</w:t>
      </w:r>
    </w:p>
    <w:p w:rsidR="001068C5" w:rsidRPr="00E727BE" w:rsidRDefault="001068C5" w:rsidP="00BB1708">
      <w:pPr>
        <w:ind w:firstLineChars="250" w:firstLine="700"/>
        <w:rPr>
          <w:rFonts w:ascii="宋体"/>
          <w:sz w:val="28"/>
          <w:szCs w:val="28"/>
        </w:rPr>
      </w:pPr>
      <w:r w:rsidRPr="00E727BE">
        <w:rPr>
          <w:rFonts w:ascii="宋体" w:hint="eastAsia"/>
          <w:sz w:val="28"/>
          <w:szCs w:val="28"/>
        </w:rPr>
        <w:t>广泛研究目前展览展示设计领域相关的各种企业资质管理文件和参考资料。严格按照GB/T1.1-2009《标准化工作导则第1部分：标准的结构和编写规则》等国家标准的要求编制。与会展行业主管部门、展览会主办单位、展览展示工程及设计企业进行了广泛深入的交流。了解展览展示行业市场信息，收集各种意见和建议。咨询和调查了国内、外展览展示设计资质管理相关情况，对香港、德国等会展业发达地区的展览展示设计规范管理模式进行了研究。</w:t>
      </w:r>
    </w:p>
    <w:p w:rsidR="002F6D32" w:rsidRPr="004C5841" w:rsidRDefault="002F6D32" w:rsidP="00927116">
      <w:pPr>
        <w:rPr>
          <w:rFonts w:ascii="宋体" w:hAnsi="宋体"/>
          <w:b/>
          <w:sz w:val="32"/>
          <w:szCs w:val="32"/>
        </w:rPr>
      </w:pPr>
      <w:r w:rsidRPr="004C5841">
        <w:rPr>
          <w:rFonts w:ascii="宋体" w:hAnsi="宋体" w:hint="eastAsia"/>
          <w:b/>
          <w:sz w:val="32"/>
          <w:szCs w:val="32"/>
        </w:rPr>
        <w:t>4. 标准的起草原则</w:t>
      </w:r>
    </w:p>
    <w:p w:rsidR="002F6D32" w:rsidRPr="004C5841" w:rsidRDefault="00D85E15" w:rsidP="00927116">
      <w:pPr>
        <w:rPr>
          <w:rFonts w:ascii="宋体"/>
          <w:b/>
          <w:sz w:val="28"/>
          <w:szCs w:val="28"/>
        </w:rPr>
      </w:pPr>
      <w:r>
        <w:rPr>
          <w:rFonts w:ascii="宋体" w:hint="eastAsia"/>
          <w:b/>
          <w:sz w:val="28"/>
          <w:szCs w:val="28"/>
        </w:rPr>
        <w:t>（1</w:t>
      </w:r>
      <w:r w:rsidR="002F6D32" w:rsidRPr="004C5841">
        <w:rPr>
          <w:rFonts w:ascii="宋体" w:hint="eastAsia"/>
          <w:b/>
          <w:sz w:val="28"/>
          <w:szCs w:val="28"/>
        </w:rPr>
        <w:t>）科学性</w:t>
      </w:r>
    </w:p>
    <w:p w:rsidR="001068C5" w:rsidRDefault="001068C5" w:rsidP="00BB1708">
      <w:pPr>
        <w:ind w:firstLineChars="250" w:firstLine="700"/>
        <w:jc w:val="left"/>
        <w:rPr>
          <w:rFonts w:ascii="宋体"/>
          <w:sz w:val="28"/>
          <w:szCs w:val="28"/>
        </w:rPr>
      </w:pPr>
      <w:r w:rsidRPr="001068C5">
        <w:rPr>
          <w:rFonts w:ascii="宋体" w:hint="eastAsia"/>
          <w:sz w:val="28"/>
          <w:szCs w:val="28"/>
        </w:rPr>
        <w:t>标准起草工作组在调查研究国内外行业信息的基础上,严格按照B/T1.1-2009《标准化工作导则第1部分：标准的结构和编写规则》 等国家标准的要求编写。并与国家发布的《中华人民共和国广告法》</w:t>
      </w:r>
      <w:r w:rsidR="004C5841">
        <w:rPr>
          <w:rFonts w:ascii="宋体" w:hint="eastAsia"/>
          <w:sz w:val="28"/>
          <w:szCs w:val="28"/>
        </w:rPr>
        <w:t>、</w:t>
      </w:r>
      <w:r w:rsidRPr="001068C5">
        <w:rPr>
          <w:rFonts w:ascii="宋体" w:hint="eastAsia"/>
          <w:sz w:val="28"/>
          <w:szCs w:val="28"/>
        </w:rPr>
        <w:t>《建设工程勘察和设计单位资质管理规定》</w:t>
      </w:r>
      <w:r w:rsidR="004C5841">
        <w:rPr>
          <w:rFonts w:ascii="宋体" w:hint="eastAsia"/>
          <w:sz w:val="28"/>
          <w:szCs w:val="28"/>
        </w:rPr>
        <w:t>、</w:t>
      </w:r>
      <w:r w:rsidRPr="001068C5">
        <w:rPr>
          <w:rFonts w:ascii="宋体" w:hint="eastAsia"/>
          <w:sz w:val="28"/>
          <w:szCs w:val="28"/>
        </w:rPr>
        <w:t>《建筑内部装修设计防火规范》</w:t>
      </w:r>
      <w:r w:rsidR="004C5841">
        <w:rPr>
          <w:rFonts w:ascii="宋体" w:hint="eastAsia"/>
          <w:sz w:val="28"/>
          <w:szCs w:val="28"/>
        </w:rPr>
        <w:t>、</w:t>
      </w:r>
      <w:r w:rsidRPr="001068C5">
        <w:rPr>
          <w:rFonts w:ascii="宋体" w:hint="eastAsia"/>
          <w:sz w:val="28"/>
          <w:szCs w:val="28"/>
        </w:rPr>
        <w:t>《大型群众性活动安全管理条例》等有关法律法规协调一致。</w:t>
      </w:r>
      <w:r w:rsidRPr="001068C5">
        <w:rPr>
          <w:rFonts w:ascii="宋体" w:hint="eastAsia"/>
          <w:sz w:val="28"/>
          <w:szCs w:val="28"/>
        </w:rPr>
        <w:lastRenderedPageBreak/>
        <w:t>《展览展示设计企业资质等级评定规范》根据企业注册资金、管理和技术人员状况、企业业绩等条件申请和评定相应资质等级，并契合了当前国内实际情况，并借鉴、参考相关行业的资质标准制定。</w:t>
      </w:r>
    </w:p>
    <w:p w:rsidR="001068C5" w:rsidRPr="004C5841" w:rsidRDefault="00D85E15" w:rsidP="001068C5">
      <w:pPr>
        <w:jc w:val="left"/>
        <w:rPr>
          <w:rFonts w:ascii="宋体"/>
          <w:b/>
          <w:sz w:val="28"/>
          <w:szCs w:val="28"/>
        </w:rPr>
      </w:pPr>
      <w:r>
        <w:rPr>
          <w:rFonts w:ascii="宋体" w:hint="eastAsia"/>
          <w:b/>
          <w:sz w:val="28"/>
          <w:szCs w:val="28"/>
        </w:rPr>
        <w:t>（2</w:t>
      </w:r>
      <w:r w:rsidR="001068C5" w:rsidRPr="004C5841">
        <w:rPr>
          <w:rFonts w:ascii="宋体" w:hint="eastAsia"/>
          <w:b/>
          <w:sz w:val="28"/>
          <w:szCs w:val="28"/>
        </w:rPr>
        <w:t>）产业化</w:t>
      </w:r>
    </w:p>
    <w:p w:rsidR="001068C5" w:rsidRPr="001068C5" w:rsidRDefault="001068C5" w:rsidP="004C5841">
      <w:pPr>
        <w:ind w:firstLineChars="200" w:firstLine="560"/>
        <w:jc w:val="left"/>
        <w:rPr>
          <w:rFonts w:ascii="宋体"/>
          <w:sz w:val="28"/>
          <w:szCs w:val="28"/>
        </w:rPr>
      </w:pPr>
      <w:r w:rsidRPr="001068C5">
        <w:rPr>
          <w:rFonts w:ascii="宋体" w:hint="eastAsia"/>
          <w:sz w:val="28"/>
          <w:szCs w:val="28"/>
        </w:rPr>
        <w:t>与许多行业相比</w:t>
      </w:r>
      <w:r w:rsidR="006676D7">
        <w:rPr>
          <w:rFonts w:ascii="宋体" w:hint="eastAsia"/>
          <w:sz w:val="28"/>
          <w:szCs w:val="28"/>
        </w:rPr>
        <w:t>，</w:t>
      </w:r>
      <w:r w:rsidRPr="001068C5">
        <w:rPr>
          <w:rFonts w:ascii="宋体" w:hint="eastAsia"/>
          <w:sz w:val="28"/>
          <w:szCs w:val="28"/>
        </w:rPr>
        <w:t>展览展示设计企业大多规模较小，很多是从其它行业转行而来,</w:t>
      </w:r>
      <w:r w:rsidR="006676D7">
        <w:rPr>
          <w:rFonts w:ascii="宋体" w:hint="eastAsia"/>
          <w:sz w:val="28"/>
          <w:szCs w:val="28"/>
        </w:rPr>
        <w:t>逐步从小到大，</w:t>
      </w:r>
      <w:r w:rsidRPr="001068C5">
        <w:rPr>
          <w:rFonts w:ascii="宋体" w:hint="eastAsia"/>
          <w:sz w:val="28"/>
          <w:szCs w:val="28"/>
        </w:rPr>
        <w:t>发展壮大起来的。因此，标准制定的基础是企业具备一定的管理能力与承揽一定的项目能力后，才能评上相应的资质。而具备相应的资质后才能进一步参与更大规模的展览项目， 改变了只注重企业经营资格的单一管理方式。</w:t>
      </w:r>
    </w:p>
    <w:p w:rsidR="001068C5" w:rsidRDefault="00DB52E4" w:rsidP="006676D7">
      <w:pPr>
        <w:ind w:firstLineChars="200" w:firstLine="560"/>
        <w:jc w:val="left"/>
        <w:rPr>
          <w:rFonts w:ascii="宋体"/>
          <w:sz w:val="28"/>
          <w:szCs w:val="28"/>
        </w:rPr>
      </w:pPr>
      <w:r>
        <w:rPr>
          <w:rFonts w:ascii="宋体" w:hint="eastAsia"/>
          <w:sz w:val="28"/>
          <w:szCs w:val="28"/>
        </w:rPr>
        <w:t>专业资质标准的推行可实现对行业整</w:t>
      </w:r>
      <w:r>
        <w:rPr>
          <w:rFonts w:ascii="宋体"/>
          <w:sz w:val="28"/>
          <w:szCs w:val="28"/>
        </w:rPr>
        <w:t>体</w:t>
      </w:r>
      <w:r w:rsidR="001068C5" w:rsidRPr="001068C5">
        <w:rPr>
          <w:rFonts w:ascii="宋体" w:hint="eastAsia"/>
          <w:sz w:val="28"/>
          <w:szCs w:val="28"/>
        </w:rPr>
        <w:t>专业结构的调整，资质等级的严格分档可以明确行业准入的标准。同时,资质管理也在提高企业素质方面起着重要的作用，真正的建立起有序的市场竞争,</w:t>
      </w:r>
      <w:r w:rsidR="006676D7">
        <w:rPr>
          <w:rFonts w:ascii="宋体" w:hint="eastAsia"/>
          <w:sz w:val="28"/>
          <w:szCs w:val="28"/>
        </w:rPr>
        <w:t>从而达到使展览展示行业良性发展的目的。</w:t>
      </w:r>
    </w:p>
    <w:p w:rsidR="001068C5" w:rsidRPr="004C5841" w:rsidRDefault="00D85E15" w:rsidP="001068C5">
      <w:pPr>
        <w:jc w:val="left"/>
        <w:rPr>
          <w:rFonts w:ascii="宋体"/>
          <w:b/>
          <w:sz w:val="28"/>
          <w:szCs w:val="28"/>
        </w:rPr>
      </w:pPr>
      <w:r>
        <w:rPr>
          <w:rFonts w:ascii="宋体" w:hint="eastAsia"/>
          <w:b/>
          <w:sz w:val="28"/>
          <w:szCs w:val="28"/>
        </w:rPr>
        <w:t>（3</w:t>
      </w:r>
      <w:r w:rsidR="001068C5" w:rsidRPr="004C5841">
        <w:rPr>
          <w:rFonts w:ascii="宋体" w:hint="eastAsia"/>
          <w:b/>
          <w:sz w:val="28"/>
          <w:szCs w:val="28"/>
        </w:rPr>
        <w:t>）前瞻性</w:t>
      </w:r>
    </w:p>
    <w:p w:rsidR="001068C5" w:rsidRDefault="001068C5" w:rsidP="004C5841">
      <w:pPr>
        <w:ind w:firstLineChars="200" w:firstLine="560"/>
        <w:jc w:val="left"/>
        <w:rPr>
          <w:rFonts w:ascii="宋体"/>
          <w:sz w:val="28"/>
          <w:szCs w:val="28"/>
        </w:rPr>
      </w:pPr>
      <w:r w:rsidRPr="001068C5">
        <w:rPr>
          <w:rFonts w:ascii="宋体" w:hint="eastAsia"/>
          <w:sz w:val="28"/>
          <w:szCs w:val="28"/>
        </w:rPr>
        <w:t>由于展览展示设计企业资质管理的规范标准,直接影响到会展行业企业的经营活动，特别对中小企业的发展影响较大，</w:t>
      </w:r>
      <w:r w:rsidR="00BF0D51">
        <w:rPr>
          <w:rFonts w:ascii="宋体" w:hint="eastAsia"/>
          <w:sz w:val="28"/>
          <w:szCs w:val="28"/>
        </w:rPr>
        <w:t>因此，</w:t>
      </w:r>
      <w:r w:rsidRPr="001068C5">
        <w:rPr>
          <w:rFonts w:ascii="宋体" w:hint="eastAsia"/>
          <w:sz w:val="28"/>
          <w:szCs w:val="28"/>
        </w:rPr>
        <w:t>制定全省会展行业统一的、广泛认可和接受的资质标准，是使整个行业做到良性可持续性发展的基本保证。</w:t>
      </w:r>
    </w:p>
    <w:p w:rsidR="001D081B" w:rsidRPr="001068C5" w:rsidRDefault="00BF24A2" w:rsidP="00BF0D51">
      <w:pPr>
        <w:ind w:firstLineChars="200" w:firstLine="560"/>
        <w:jc w:val="left"/>
        <w:rPr>
          <w:rFonts w:ascii="宋体"/>
          <w:sz w:val="28"/>
          <w:szCs w:val="28"/>
        </w:rPr>
      </w:pPr>
      <w:r w:rsidRPr="00EF1138">
        <w:rPr>
          <w:rFonts w:ascii="宋体" w:hAnsi="宋体" w:hint="eastAsia"/>
          <w:sz w:val="28"/>
          <w:szCs w:val="28"/>
        </w:rPr>
        <w:t>展览展示设计企业资质等级评定规范</w:t>
      </w:r>
      <w:r w:rsidR="001068C5" w:rsidRPr="001068C5">
        <w:rPr>
          <w:rFonts w:ascii="宋体" w:hint="eastAsia"/>
          <w:sz w:val="28"/>
          <w:szCs w:val="28"/>
        </w:rPr>
        <w:t>既要科学、合理，符合客观规律和企业实际发展状况，又要易于实施监督管理，有利于各级企业和从业人员全面了解和掌握</w:t>
      </w:r>
      <w:r w:rsidR="00E3447E">
        <w:rPr>
          <w:rFonts w:ascii="宋体" w:hint="eastAsia"/>
          <w:sz w:val="28"/>
          <w:szCs w:val="28"/>
        </w:rPr>
        <w:t>，</w:t>
      </w:r>
      <w:r w:rsidR="001068C5" w:rsidRPr="001068C5">
        <w:rPr>
          <w:rFonts w:ascii="宋体" w:hint="eastAsia"/>
          <w:sz w:val="28"/>
          <w:szCs w:val="28"/>
        </w:rPr>
        <w:t>为企业创造有利的竞争环境，促进企业发展，提高展览展示设计企业专业化水平。</w:t>
      </w:r>
    </w:p>
    <w:p w:rsidR="001D081B" w:rsidRDefault="001D081B" w:rsidP="00B36E1E">
      <w:pPr>
        <w:jc w:val="left"/>
        <w:rPr>
          <w:rFonts w:ascii="宋体" w:hAnsi="宋体"/>
          <w:sz w:val="36"/>
          <w:szCs w:val="36"/>
        </w:rPr>
      </w:pPr>
    </w:p>
    <w:p w:rsidR="004C5841" w:rsidRDefault="00254A9F" w:rsidP="004C5841">
      <w:pPr>
        <w:rPr>
          <w:rFonts w:ascii="宋体"/>
          <w:b/>
          <w:sz w:val="36"/>
          <w:szCs w:val="36"/>
        </w:rPr>
      </w:pPr>
      <w:r>
        <w:rPr>
          <w:rFonts w:ascii="宋体" w:hAnsi="宋体" w:hint="eastAsia"/>
          <w:b/>
          <w:sz w:val="36"/>
          <w:szCs w:val="36"/>
        </w:rPr>
        <w:t>四</w:t>
      </w:r>
      <w:r w:rsidR="004C5841" w:rsidRPr="00B36E1E">
        <w:rPr>
          <w:rFonts w:ascii="宋体" w:hAnsi="宋体" w:hint="eastAsia"/>
          <w:b/>
          <w:sz w:val="36"/>
          <w:szCs w:val="36"/>
        </w:rPr>
        <w:t>、</w:t>
      </w:r>
      <w:r w:rsidR="004C5841">
        <w:rPr>
          <w:rFonts w:ascii="宋体" w:hAnsi="宋体" w:hint="eastAsia"/>
          <w:b/>
          <w:sz w:val="36"/>
          <w:szCs w:val="36"/>
        </w:rPr>
        <w:t>规范</w:t>
      </w:r>
      <w:r w:rsidR="004C5841" w:rsidRPr="00B36E1E">
        <w:rPr>
          <w:rFonts w:ascii="宋体" w:hAnsi="宋体" w:hint="eastAsia"/>
          <w:b/>
          <w:sz w:val="36"/>
          <w:szCs w:val="36"/>
        </w:rPr>
        <w:t>实施建议</w:t>
      </w:r>
    </w:p>
    <w:p w:rsidR="004C5841" w:rsidRPr="00B36E1E" w:rsidRDefault="004C5841" w:rsidP="004C5841">
      <w:pPr>
        <w:rPr>
          <w:rFonts w:ascii="宋体"/>
          <w:sz w:val="36"/>
          <w:szCs w:val="36"/>
        </w:rPr>
      </w:pPr>
    </w:p>
    <w:p w:rsidR="004C5841" w:rsidRPr="00B36E1E" w:rsidRDefault="004C5841" w:rsidP="00410527">
      <w:pPr>
        <w:pStyle w:val="a8"/>
        <w:snapToGrid w:val="0"/>
        <w:spacing w:line="360" w:lineRule="auto"/>
        <w:ind w:firstLine="560"/>
        <w:rPr>
          <w:rFonts w:hAnsi="宋体"/>
          <w:sz w:val="28"/>
          <w:szCs w:val="28"/>
        </w:rPr>
      </w:pPr>
      <w:r>
        <w:rPr>
          <w:rFonts w:hAnsi="宋体" w:hint="eastAsia"/>
          <w:sz w:val="28"/>
          <w:szCs w:val="28"/>
        </w:rPr>
        <w:t>江西省《</w:t>
      </w:r>
      <w:r w:rsidR="00EF1138" w:rsidRPr="00EF1138">
        <w:rPr>
          <w:rFonts w:hAnsi="宋体" w:hint="eastAsia"/>
          <w:sz w:val="28"/>
          <w:szCs w:val="28"/>
        </w:rPr>
        <w:t>展览展示设计企业资质等级评定规范</w:t>
      </w:r>
      <w:r w:rsidRPr="00B36E1E">
        <w:rPr>
          <w:rFonts w:hAnsi="宋体" w:hint="eastAsia"/>
          <w:sz w:val="28"/>
          <w:szCs w:val="28"/>
        </w:rPr>
        <w:t>》颁布实施后，将通过</w:t>
      </w:r>
      <w:r w:rsidR="00A879F5" w:rsidRPr="00C33EF0">
        <w:rPr>
          <w:rFonts w:hAnsi="宋体" w:hint="eastAsia"/>
          <w:sz w:val="28"/>
          <w:szCs w:val="28"/>
        </w:rPr>
        <w:t>江西省标准化研究院</w:t>
      </w:r>
      <w:r w:rsidR="00DB52E4">
        <w:rPr>
          <w:rFonts w:hAnsi="宋体" w:hint="eastAsia"/>
          <w:sz w:val="28"/>
          <w:szCs w:val="28"/>
        </w:rPr>
        <w:t>、标</w:t>
      </w:r>
      <w:r w:rsidR="00DB52E4">
        <w:rPr>
          <w:rFonts w:hAnsi="宋体"/>
          <w:sz w:val="28"/>
          <w:szCs w:val="28"/>
        </w:rPr>
        <w:t>准化宣传平台</w:t>
      </w:r>
      <w:r w:rsidRPr="00B36E1E">
        <w:rPr>
          <w:rFonts w:hAnsi="宋体" w:hint="eastAsia"/>
          <w:sz w:val="28"/>
          <w:szCs w:val="28"/>
        </w:rPr>
        <w:t>及江西省会议展览业协会宣传本</w:t>
      </w:r>
      <w:r>
        <w:rPr>
          <w:rFonts w:hAnsi="宋体" w:hint="eastAsia"/>
          <w:sz w:val="28"/>
          <w:szCs w:val="28"/>
        </w:rPr>
        <w:t>规范</w:t>
      </w:r>
      <w:r w:rsidRPr="00B36E1E">
        <w:rPr>
          <w:rFonts w:hAnsi="宋体" w:hint="eastAsia"/>
          <w:sz w:val="28"/>
          <w:szCs w:val="28"/>
        </w:rPr>
        <w:t>，</w:t>
      </w:r>
      <w:r w:rsidR="00DB52E4">
        <w:rPr>
          <w:rFonts w:hAnsi="宋体" w:hint="eastAsia"/>
          <w:sz w:val="28"/>
          <w:szCs w:val="28"/>
        </w:rPr>
        <w:t>并</w:t>
      </w:r>
      <w:r w:rsidR="00DB52E4">
        <w:rPr>
          <w:rFonts w:hAnsi="宋体"/>
          <w:sz w:val="28"/>
          <w:szCs w:val="28"/>
        </w:rPr>
        <w:t>由江西省会议展览业协会</w:t>
      </w:r>
      <w:r w:rsidRPr="00B36E1E">
        <w:rPr>
          <w:rFonts w:hAnsi="宋体" w:hint="eastAsia"/>
          <w:sz w:val="28"/>
          <w:szCs w:val="28"/>
        </w:rPr>
        <w:t>促进本</w:t>
      </w:r>
      <w:r w:rsidR="00DB52E4">
        <w:rPr>
          <w:rFonts w:hAnsi="宋体" w:hint="eastAsia"/>
          <w:sz w:val="28"/>
          <w:szCs w:val="28"/>
        </w:rPr>
        <w:t>标</w:t>
      </w:r>
      <w:r w:rsidR="00DB52E4">
        <w:rPr>
          <w:rFonts w:hAnsi="宋体"/>
          <w:sz w:val="28"/>
          <w:szCs w:val="28"/>
        </w:rPr>
        <w:t>准</w:t>
      </w:r>
      <w:r w:rsidRPr="00B36E1E">
        <w:rPr>
          <w:rFonts w:hAnsi="宋体" w:hint="eastAsia"/>
          <w:sz w:val="28"/>
          <w:szCs w:val="28"/>
        </w:rPr>
        <w:t>的实施。</w:t>
      </w:r>
      <w:bookmarkStart w:id="0" w:name="_GoBack"/>
      <w:bookmarkEnd w:id="0"/>
    </w:p>
    <w:p w:rsidR="004C5841" w:rsidRPr="00B36E1E" w:rsidRDefault="004C5841" w:rsidP="004C5841">
      <w:pPr>
        <w:pStyle w:val="a8"/>
        <w:snapToGrid w:val="0"/>
        <w:spacing w:line="360" w:lineRule="auto"/>
        <w:ind w:firstLineChars="166" w:firstLine="465"/>
        <w:rPr>
          <w:rFonts w:hAnsi="宋体"/>
          <w:sz w:val="28"/>
          <w:szCs w:val="28"/>
        </w:rPr>
      </w:pPr>
    </w:p>
    <w:p w:rsidR="004C5841" w:rsidRPr="00B36E1E" w:rsidRDefault="004C5841" w:rsidP="004C5841">
      <w:pPr>
        <w:pStyle w:val="a8"/>
        <w:snapToGrid w:val="0"/>
        <w:spacing w:line="360" w:lineRule="auto"/>
        <w:ind w:firstLineChars="166" w:firstLine="465"/>
        <w:rPr>
          <w:rFonts w:hAnsi="宋体"/>
          <w:sz w:val="28"/>
          <w:szCs w:val="28"/>
        </w:rPr>
      </w:pPr>
    </w:p>
    <w:p w:rsidR="004C5841" w:rsidRPr="00B36E1E" w:rsidRDefault="004C5841" w:rsidP="004C5841">
      <w:pPr>
        <w:pStyle w:val="a8"/>
        <w:snapToGrid w:val="0"/>
        <w:spacing w:line="360" w:lineRule="auto"/>
        <w:ind w:firstLineChars="166" w:firstLine="500"/>
        <w:jc w:val="right"/>
        <w:rPr>
          <w:rFonts w:hAnsi="宋体"/>
          <w:b/>
          <w:sz w:val="30"/>
          <w:szCs w:val="30"/>
        </w:rPr>
      </w:pPr>
      <w:r w:rsidRPr="00B36E1E">
        <w:rPr>
          <w:rFonts w:hAnsi="宋体" w:hint="eastAsia"/>
          <w:b/>
          <w:sz w:val="30"/>
          <w:szCs w:val="30"/>
        </w:rPr>
        <w:t>《</w:t>
      </w:r>
      <w:r w:rsidR="001203F9" w:rsidRPr="001203F9">
        <w:rPr>
          <w:rFonts w:hAnsi="宋体" w:hint="eastAsia"/>
          <w:b/>
          <w:sz w:val="30"/>
          <w:szCs w:val="30"/>
        </w:rPr>
        <w:t>江西省展览展示设计企业资质等级评定规范</w:t>
      </w:r>
      <w:r w:rsidRPr="00B36E1E">
        <w:rPr>
          <w:rFonts w:hAnsi="宋体" w:hint="eastAsia"/>
          <w:b/>
          <w:sz w:val="30"/>
          <w:szCs w:val="30"/>
        </w:rPr>
        <w:t>》</w:t>
      </w:r>
    </w:p>
    <w:p w:rsidR="004C5841" w:rsidRPr="00B36E1E" w:rsidRDefault="004C5841" w:rsidP="004C5841">
      <w:pPr>
        <w:pStyle w:val="a8"/>
        <w:snapToGrid w:val="0"/>
        <w:spacing w:line="360" w:lineRule="auto"/>
        <w:ind w:right="280" w:firstLineChars="166" w:firstLine="500"/>
        <w:jc w:val="right"/>
        <w:rPr>
          <w:rFonts w:hAnsi="宋体"/>
          <w:b/>
          <w:sz w:val="30"/>
          <w:szCs w:val="30"/>
        </w:rPr>
      </w:pPr>
      <w:r w:rsidRPr="00B36E1E">
        <w:rPr>
          <w:rFonts w:hAnsi="宋体" w:hint="eastAsia"/>
          <w:b/>
          <w:sz w:val="30"/>
          <w:szCs w:val="30"/>
        </w:rPr>
        <w:t>起草工作组</w:t>
      </w:r>
      <w:r>
        <w:rPr>
          <w:rFonts w:hAnsi="宋体"/>
          <w:b/>
          <w:sz w:val="30"/>
          <w:szCs w:val="30"/>
        </w:rPr>
        <w:t xml:space="preserve">  201</w:t>
      </w:r>
      <w:r w:rsidR="001203F9">
        <w:rPr>
          <w:rFonts w:hAnsi="宋体" w:hint="eastAsia"/>
          <w:b/>
          <w:sz w:val="30"/>
          <w:szCs w:val="30"/>
        </w:rPr>
        <w:t>9</w:t>
      </w:r>
      <w:r>
        <w:rPr>
          <w:rFonts w:hAnsi="宋体"/>
          <w:b/>
          <w:sz w:val="30"/>
          <w:szCs w:val="30"/>
        </w:rPr>
        <w:t>.</w:t>
      </w:r>
      <w:r w:rsidR="001203F9">
        <w:rPr>
          <w:rFonts w:hAnsi="宋体" w:hint="eastAsia"/>
          <w:b/>
          <w:sz w:val="30"/>
          <w:szCs w:val="30"/>
        </w:rPr>
        <w:t>3</w:t>
      </w:r>
    </w:p>
    <w:p w:rsidR="001D081B" w:rsidRDefault="001D081B" w:rsidP="00B36E1E">
      <w:pPr>
        <w:jc w:val="left"/>
        <w:rPr>
          <w:rFonts w:ascii="宋体" w:hAnsi="宋体"/>
          <w:sz w:val="36"/>
          <w:szCs w:val="36"/>
        </w:rPr>
      </w:pPr>
    </w:p>
    <w:p w:rsidR="001D081B" w:rsidRDefault="001D081B" w:rsidP="00B36E1E">
      <w:pPr>
        <w:jc w:val="left"/>
        <w:rPr>
          <w:rFonts w:ascii="宋体" w:hAnsi="宋体"/>
          <w:sz w:val="36"/>
          <w:szCs w:val="36"/>
        </w:rPr>
      </w:pPr>
    </w:p>
    <w:sectPr w:rsidR="001D081B" w:rsidSect="001B29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7A3" w:rsidRDefault="006F27A3" w:rsidP="005A326A">
      <w:r>
        <w:separator/>
      </w:r>
    </w:p>
  </w:endnote>
  <w:endnote w:type="continuationSeparator" w:id="0">
    <w:p w:rsidR="006F27A3" w:rsidRDefault="006F27A3" w:rsidP="005A3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7A3" w:rsidRDefault="006F27A3" w:rsidP="005A326A">
      <w:r>
        <w:separator/>
      </w:r>
    </w:p>
  </w:footnote>
  <w:footnote w:type="continuationSeparator" w:id="0">
    <w:p w:rsidR="006F27A3" w:rsidRDefault="006F27A3" w:rsidP="005A32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B67E83"/>
    <w:multiLevelType w:val="hybridMultilevel"/>
    <w:tmpl w:val="CFFE012E"/>
    <w:lvl w:ilvl="0" w:tplc="80941D06">
      <w:start w:val="1"/>
      <w:numFmt w:val="japaneseCounting"/>
      <w:lvlText w:val="%1."/>
      <w:lvlJc w:val="left"/>
      <w:pPr>
        <w:ind w:left="360" w:hanging="360"/>
      </w:pPr>
      <w:rPr>
        <w:rFonts w:cs="Times New Roman" w:hint="default"/>
        <w:b w:val="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3A61"/>
    <w:rsid w:val="00026389"/>
    <w:rsid w:val="000A6F2B"/>
    <w:rsid w:val="001068C5"/>
    <w:rsid w:val="00114458"/>
    <w:rsid w:val="001203F9"/>
    <w:rsid w:val="00120DCE"/>
    <w:rsid w:val="0017151E"/>
    <w:rsid w:val="001B296D"/>
    <w:rsid w:val="001D081B"/>
    <w:rsid w:val="002148D4"/>
    <w:rsid w:val="00254A9F"/>
    <w:rsid w:val="00263A35"/>
    <w:rsid w:val="002A5003"/>
    <w:rsid w:val="002B29B7"/>
    <w:rsid w:val="002E41DA"/>
    <w:rsid w:val="002F6D32"/>
    <w:rsid w:val="002F731B"/>
    <w:rsid w:val="003300A8"/>
    <w:rsid w:val="00345316"/>
    <w:rsid w:val="00347115"/>
    <w:rsid w:val="00347334"/>
    <w:rsid w:val="003A5383"/>
    <w:rsid w:val="003B0200"/>
    <w:rsid w:val="004079C5"/>
    <w:rsid w:val="00410527"/>
    <w:rsid w:val="00442523"/>
    <w:rsid w:val="00454DD5"/>
    <w:rsid w:val="004A0419"/>
    <w:rsid w:val="004B19A9"/>
    <w:rsid w:val="004B57A8"/>
    <w:rsid w:val="004C5841"/>
    <w:rsid w:val="0052198F"/>
    <w:rsid w:val="00530C3D"/>
    <w:rsid w:val="00546D7F"/>
    <w:rsid w:val="005A05CE"/>
    <w:rsid w:val="005A3041"/>
    <w:rsid w:val="005A326A"/>
    <w:rsid w:val="005D62B0"/>
    <w:rsid w:val="00607C79"/>
    <w:rsid w:val="00623EC2"/>
    <w:rsid w:val="006676D7"/>
    <w:rsid w:val="00674FDA"/>
    <w:rsid w:val="00683769"/>
    <w:rsid w:val="006A096B"/>
    <w:rsid w:val="006E222E"/>
    <w:rsid w:val="006E6EA6"/>
    <w:rsid w:val="006F27A3"/>
    <w:rsid w:val="00714A00"/>
    <w:rsid w:val="00785CB4"/>
    <w:rsid w:val="007A0596"/>
    <w:rsid w:val="007A1FAF"/>
    <w:rsid w:val="007C18DA"/>
    <w:rsid w:val="007E060D"/>
    <w:rsid w:val="007E3265"/>
    <w:rsid w:val="007E58A5"/>
    <w:rsid w:val="00803C5B"/>
    <w:rsid w:val="0084557F"/>
    <w:rsid w:val="00853A61"/>
    <w:rsid w:val="00892983"/>
    <w:rsid w:val="00927116"/>
    <w:rsid w:val="009531CD"/>
    <w:rsid w:val="00980D30"/>
    <w:rsid w:val="00983901"/>
    <w:rsid w:val="00990767"/>
    <w:rsid w:val="009B1668"/>
    <w:rsid w:val="009B1A9E"/>
    <w:rsid w:val="009D5111"/>
    <w:rsid w:val="009D7AF8"/>
    <w:rsid w:val="00A100B5"/>
    <w:rsid w:val="00A22E79"/>
    <w:rsid w:val="00A41FF9"/>
    <w:rsid w:val="00A42071"/>
    <w:rsid w:val="00A637D2"/>
    <w:rsid w:val="00A879F5"/>
    <w:rsid w:val="00AC0102"/>
    <w:rsid w:val="00AC43F8"/>
    <w:rsid w:val="00AD5F83"/>
    <w:rsid w:val="00AD74F5"/>
    <w:rsid w:val="00B36E1E"/>
    <w:rsid w:val="00B50539"/>
    <w:rsid w:val="00B554B4"/>
    <w:rsid w:val="00B668B0"/>
    <w:rsid w:val="00B917A5"/>
    <w:rsid w:val="00B93E1F"/>
    <w:rsid w:val="00BB1708"/>
    <w:rsid w:val="00BB538D"/>
    <w:rsid w:val="00BE692F"/>
    <w:rsid w:val="00BE74E8"/>
    <w:rsid w:val="00BF0D51"/>
    <w:rsid w:val="00BF24A2"/>
    <w:rsid w:val="00C07939"/>
    <w:rsid w:val="00C33EF0"/>
    <w:rsid w:val="00C55AE3"/>
    <w:rsid w:val="00C67CEE"/>
    <w:rsid w:val="00C72FEC"/>
    <w:rsid w:val="00C763A1"/>
    <w:rsid w:val="00C877C3"/>
    <w:rsid w:val="00CE1D13"/>
    <w:rsid w:val="00D11EC1"/>
    <w:rsid w:val="00D5189D"/>
    <w:rsid w:val="00D85E15"/>
    <w:rsid w:val="00D8777C"/>
    <w:rsid w:val="00DB52E4"/>
    <w:rsid w:val="00DC66E8"/>
    <w:rsid w:val="00E3447E"/>
    <w:rsid w:val="00E34835"/>
    <w:rsid w:val="00E70ED6"/>
    <w:rsid w:val="00E727BE"/>
    <w:rsid w:val="00EA1A44"/>
    <w:rsid w:val="00EB76AB"/>
    <w:rsid w:val="00EC4DBA"/>
    <w:rsid w:val="00ED35E5"/>
    <w:rsid w:val="00EF1138"/>
    <w:rsid w:val="00F07D4E"/>
    <w:rsid w:val="00F120F5"/>
    <w:rsid w:val="00F2491F"/>
    <w:rsid w:val="00F510EC"/>
    <w:rsid w:val="00F54E75"/>
    <w:rsid w:val="00F76DF2"/>
    <w:rsid w:val="00F83810"/>
    <w:rsid w:val="00F95996"/>
    <w:rsid w:val="00F96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846413E-44C0-4A9E-8655-D51CDCDC7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96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853A61"/>
    <w:pPr>
      <w:widowControl/>
      <w:spacing w:before="100" w:beforeAutospacing="1" w:after="100" w:afterAutospacing="1"/>
      <w:jc w:val="left"/>
    </w:pPr>
    <w:rPr>
      <w:rFonts w:ascii="宋体" w:hAnsi="宋体" w:cs="宋体"/>
      <w:kern w:val="0"/>
      <w:sz w:val="24"/>
      <w:szCs w:val="24"/>
    </w:rPr>
  </w:style>
  <w:style w:type="paragraph" w:styleId="a4">
    <w:name w:val="List Paragraph"/>
    <w:basedOn w:val="a"/>
    <w:uiPriority w:val="99"/>
    <w:qFormat/>
    <w:rsid w:val="00853A61"/>
    <w:pPr>
      <w:ind w:firstLineChars="200" w:firstLine="420"/>
    </w:pPr>
  </w:style>
  <w:style w:type="paragraph" w:styleId="a5">
    <w:name w:val="Balloon Text"/>
    <w:basedOn w:val="a"/>
    <w:link w:val="Char"/>
    <w:uiPriority w:val="99"/>
    <w:semiHidden/>
    <w:rsid w:val="00F96081"/>
    <w:rPr>
      <w:sz w:val="18"/>
      <w:szCs w:val="18"/>
    </w:rPr>
  </w:style>
  <w:style w:type="character" w:customStyle="1" w:styleId="Char">
    <w:name w:val="批注框文本 Char"/>
    <w:link w:val="a5"/>
    <w:uiPriority w:val="99"/>
    <w:semiHidden/>
    <w:locked/>
    <w:rsid w:val="00F96081"/>
    <w:rPr>
      <w:rFonts w:cs="Times New Roman"/>
      <w:sz w:val="18"/>
      <w:szCs w:val="18"/>
    </w:rPr>
  </w:style>
  <w:style w:type="paragraph" w:styleId="a6">
    <w:name w:val="header"/>
    <w:basedOn w:val="a"/>
    <w:link w:val="Char0"/>
    <w:uiPriority w:val="99"/>
    <w:rsid w:val="005A326A"/>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locked/>
    <w:rsid w:val="005A326A"/>
    <w:rPr>
      <w:rFonts w:cs="Times New Roman"/>
      <w:sz w:val="18"/>
      <w:szCs w:val="18"/>
    </w:rPr>
  </w:style>
  <w:style w:type="paragraph" w:styleId="a7">
    <w:name w:val="footer"/>
    <w:basedOn w:val="a"/>
    <w:link w:val="Char1"/>
    <w:uiPriority w:val="99"/>
    <w:rsid w:val="005A326A"/>
    <w:pPr>
      <w:tabs>
        <w:tab w:val="center" w:pos="4153"/>
        <w:tab w:val="right" w:pos="8306"/>
      </w:tabs>
      <w:snapToGrid w:val="0"/>
      <w:jc w:val="left"/>
    </w:pPr>
    <w:rPr>
      <w:sz w:val="18"/>
      <w:szCs w:val="18"/>
    </w:rPr>
  </w:style>
  <w:style w:type="character" w:customStyle="1" w:styleId="Char1">
    <w:name w:val="页脚 Char"/>
    <w:link w:val="a7"/>
    <w:uiPriority w:val="99"/>
    <w:locked/>
    <w:rsid w:val="005A326A"/>
    <w:rPr>
      <w:rFonts w:cs="Times New Roman"/>
      <w:sz w:val="18"/>
      <w:szCs w:val="18"/>
    </w:rPr>
  </w:style>
  <w:style w:type="paragraph" w:styleId="HTML">
    <w:name w:val="HTML Preformatted"/>
    <w:basedOn w:val="a"/>
    <w:link w:val="HTMLChar"/>
    <w:uiPriority w:val="99"/>
    <w:rsid w:val="00C55A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link w:val="HTML"/>
    <w:uiPriority w:val="99"/>
    <w:locked/>
    <w:rsid w:val="00C55AE3"/>
    <w:rPr>
      <w:rFonts w:ascii="宋体" w:eastAsia="宋体" w:hAnsi="宋体" w:cs="宋体"/>
      <w:kern w:val="0"/>
      <w:sz w:val="24"/>
      <w:szCs w:val="24"/>
    </w:rPr>
  </w:style>
  <w:style w:type="paragraph" w:customStyle="1" w:styleId="a8">
    <w:name w:val="段"/>
    <w:link w:val="Char2"/>
    <w:uiPriority w:val="99"/>
    <w:rsid w:val="00C55AE3"/>
    <w:pPr>
      <w:autoSpaceDE w:val="0"/>
      <w:autoSpaceDN w:val="0"/>
      <w:ind w:firstLineChars="200" w:firstLine="200"/>
      <w:jc w:val="both"/>
    </w:pPr>
    <w:rPr>
      <w:rFonts w:ascii="宋体" w:hAnsi="Times New Roman"/>
      <w:noProof/>
      <w:sz w:val="21"/>
    </w:rPr>
  </w:style>
  <w:style w:type="character" w:customStyle="1" w:styleId="Char2">
    <w:name w:val="段 Char"/>
    <w:link w:val="a8"/>
    <w:uiPriority w:val="99"/>
    <w:locked/>
    <w:rsid w:val="00C55AE3"/>
    <w:rPr>
      <w:rFonts w:ascii="宋体" w:hAnsi="Times New Roman"/>
      <w:noProof/>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8969230">
      <w:marLeft w:val="0"/>
      <w:marRight w:val="0"/>
      <w:marTop w:val="0"/>
      <w:marBottom w:val="0"/>
      <w:divBdr>
        <w:top w:val="none" w:sz="0" w:space="0" w:color="auto"/>
        <w:left w:val="none" w:sz="0" w:space="0" w:color="auto"/>
        <w:bottom w:val="none" w:sz="0" w:space="0" w:color="auto"/>
        <w:right w:val="none" w:sz="0" w:space="0" w:color="auto"/>
      </w:divBdr>
    </w:div>
    <w:div w:id="948969231">
      <w:marLeft w:val="0"/>
      <w:marRight w:val="0"/>
      <w:marTop w:val="0"/>
      <w:marBottom w:val="0"/>
      <w:divBdr>
        <w:top w:val="none" w:sz="0" w:space="0" w:color="auto"/>
        <w:left w:val="none" w:sz="0" w:space="0" w:color="auto"/>
        <w:bottom w:val="none" w:sz="0" w:space="0" w:color="auto"/>
        <w:right w:val="none" w:sz="0" w:space="0" w:color="auto"/>
      </w:divBdr>
    </w:div>
    <w:div w:id="948969232">
      <w:marLeft w:val="0"/>
      <w:marRight w:val="0"/>
      <w:marTop w:val="0"/>
      <w:marBottom w:val="0"/>
      <w:divBdr>
        <w:top w:val="none" w:sz="0" w:space="0" w:color="auto"/>
        <w:left w:val="none" w:sz="0" w:space="0" w:color="auto"/>
        <w:bottom w:val="none" w:sz="0" w:space="0" w:color="auto"/>
        <w:right w:val="none" w:sz="0" w:space="0" w:color="auto"/>
      </w:divBdr>
    </w:div>
    <w:div w:id="948969233">
      <w:marLeft w:val="0"/>
      <w:marRight w:val="0"/>
      <w:marTop w:val="0"/>
      <w:marBottom w:val="0"/>
      <w:divBdr>
        <w:top w:val="none" w:sz="0" w:space="0" w:color="auto"/>
        <w:left w:val="none" w:sz="0" w:space="0" w:color="auto"/>
        <w:bottom w:val="none" w:sz="0" w:space="0" w:color="auto"/>
        <w:right w:val="none" w:sz="0" w:space="0" w:color="auto"/>
      </w:divBdr>
    </w:div>
    <w:div w:id="948969234">
      <w:marLeft w:val="0"/>
      <w:marRight w:val="0"/>
      <w:marTop w:val="0"/>
      <w:marBottom w:val="0"/>
      <w:divBdr>
        <w:top w:val="none" w:sz="0" w:space="0" w:color="auto"/>
        <w:left w:val="none" w:sz="0" w:space="0" w:color="auto"/>
        <w:bottom w:val="none" w:sz="0" w:space="0" w:color="auto"/>
        <w:right w:val="none" w:sz="0" w:space="0" w:color="auto"/>
      </w:divBdr>
    </w:div>
    <w:div w:id="948969235">
      <w:marLeft w:val="0"/>
      <w:marRight w:val="0"/>
      <w:marTop w:val="0"/>
      <w:marBottom w:val="0"/>
      <w:divBdr>
        <w:top w:val="none" w:sz="0" w:space="0" w:color="auto"/>
        <w:left w:val="none" w:sz="0" w:space="0" w:color="auto"/>
        <w:bottom w:val="none" w:sz="0" w:space="0" w:color="auto"/>
        <w:right w:val="none" w:sz="0" w:space="0" w:color="auto"/>
      </w:divBdr>
    </w:div>
    <w:div w:id="948969236">
      <w:marLeft w:val="0"/>
      <w:marRight w:val="0"/>
      <w:marTop w:val="0"/>
      <w:marBottom w:val="0"/>
      <w:divBdr>
        <w:top w:val="none" w:sz="0" w:space="0" w:color="auto"/>
        <w:left w:val="none" w:sz="0" w:space="0" w:color="auto"/>
        <w:bottom w:val="none" w:sz="0" w:space="0" w:color="auto"/>
        <w:right w:val="none" w:sz="0" w:space="0" w:color="auto"/>
      </w:divBdr>
    </w:div>
    <w:div w:id="948969237">
      <w:marLeft w:val="0"/>
      <w:marRight w:val="0"/>
      <w:marTop w:val="0"/>
      <w:marBottom w:val="0"/>
      <w:divBdr>
        <w:top w:val="none" w:sz="0" w:space="0" w:color="auto"/>
        <w:left w:val="none" w:sz="0" w:space="0" w:color="auto"/>
        <w:bottom w:val="none" w:sz="0" w:space="0" w:color="auto"/>
        <w:right w:val="none" w:sz="0" w:space="0" w:color="auto"/>
      </w:divBdr>
    </w:div>
    <w:div w:id="948969238">
      <w:marLeft w:val="0"/>
      <w:marRight w:val="0"/>
      <w:marTop w:val="0"/>
      <w:marBottom w:val="0"/>
      <w:divBdr>
        <w:top w:val="none" w:sz="0" w:space="0" w:color="auto"/>
        <w:left w:val="none" w:sz="0" w:space="0" w:color="auto"/>
        <w:bottom w:val="none" w:sz="0" w:space="0" w:color="auto"/>
        <w:right w:val="none" w:sz="0" w:space="0" w:color="auto"/>
      </w:divBdr>
    </w:div>
    <w:div w:id="948969239">
      <w:marLeft w:val="0"/>
      <w:marRight w:val="0"/>
      <w:marTop w:val="0"/>
      <w:marBottom w:val="0"/>
      <w:divBdr>
        <w:top w:val="none" w:sz="0" w:space="0" w:color="auto"/>
        <w:left w:val="none" w:sz="0" w:space="0" w:color="auto"/>
        <w:bottom w:val="none" w:sz="0" w:space="0" w:color="auto"/>
        <w:right w:val="none" w:sz="0" w:space="0" w:color="auto"/>
      </w:divBdr>
    </w:div>
    <w:div w:id="948969240">
      <w:marLeft w:val="0"/>
      <w:marRight w:val="0"/>
      <w:marTop w:val="0"/>
      <w:marBottom w:val="0"/>
      <w:divBdr>
        <w:top w:val="none" w:sz="0" w:space="0" w:color="auto"/>
        <w:left w:val="none" w:sz="0" w:space="0" w:color="auto"/>
        <w:bottom w:val="none" w:sz="0" w:space="0" w:color="auto"/>
        <w:right w:val="none" w:sz="0" w:space="0" w:color="auto"/>
      </w:divBdr>
    </w:div>
    <w:div w:id="948969241">
      <w:marLeft w:val="0"/>
      <w:marRight w:val="0"/>
      <w:marTop w:val="0"/>
      <w:marBottom w:val="0"/>
      <w:divBdr>
        <w:top w:val="none" w:sz="0" w:space="0" w:color="auto"/>
        <w:left w:val="none" w:sz="0" w:space="0" w:color="auto"/>
        <w:bottom w:val="none" w:sz="0" w:space="0" w:color="auto"/>
        <w:right w:val="none" w:sz="0" w:space="0" w:color="auto"/>
      </w:divBdr>
    </w:div>
    <w:div w:id="948969242">
      <w:marLeft w:val="0"/>
      <w:marRight w:val="0"/>
      <w:marTop w:val="0"/>
      <w:marBottom w:val="0"/>
      <w:divBdr>
        <w:top w:val="none" w:sz="0" w:space="0" w:color="auto"/>
        <w:left w:val="none" w:sz="0" w:space="0" w:color="auto"/>
        <w:bottom w:val="none" w:sz="0" w:space="0" w:color="auto"/>
        <w:right w:val="none" w:sz="0" w:space="0" w:color="auto"/>
      </w:divBdr>
    </w:div>
    <w:div w:id="948969243">
      <w:marLeft w:val="0"/>
      <w:marRight w:val="0"/>
      <w:marTop w:val="0"/>
      <w:marBottom w:val="0"/>
      <w:divBdr>
        <w:top w:val="none" w:sz="0" w:space="0" w:color="auto"/>
        <w:left w:val="none" w:sz="0" w:space="0" w:color="auto"/>
        <w:bottom w:val="none" w:sz="0" w:space="0" w:color="auto"/>
        <w:right w:val="none" w:sz="0" w:space="0" w:color="auto"/>
      </w:divBdr>
    </w:div>
    <w:div w:id="948969244">
      <w:marLeft w:val="0"/>
      <w:marRight w:val="0"/>
      <w:marTop w:val="0"/>
      <w:marBottom w:val="0"/>
      <w:divBdr>
        <w:top w:val="none" w:sz="0" w:space="0" w:color="auto"/>
        <w:left w:val="none" w:sz="0" w:space="0" w:color="auto"/>
        <w:bottom w:val="none" w:sz="0" w:space="0" w:color="auto"/>
        <w:right w:val="none" w:sz="0" w:space="0" w:color="auto"/>
      </w:divBdr>
    </w:div>
    <w:div w:id="948969245">
      <w:marLeft w:val="0"/>
      <w:marRight w:val="0"/>
      <w:marTop w:val="0"/>
      <w:marBottom w:val="0"/>
      <w:divBdr>
        <w:top w:val="none" w:sz="0" w:space="0" w:color="auto"/>
        <w:left w:val="none" w:sz="0" w:space="0" w:color="auto"/>
        <w:bottom w:val="none" w:sz="0" w:space="0" w:color="auto"/>
        <w:right w:val="none" w:sz="0" w:space="0" w:color="auto"/>
      </w:divBdr>
    </w:div>
    <w:div w:id="948969246">
      <w:marLeft w:val="0"/>
      <w:marRight w:val="0"/>
      <w:marTop w:val="0"/>
      <w:marBottom w:val="0"/>
      <w:divBdr>
        <w:top w:val="none" w:sz="0" w:space="0" w:color="auto"/>
        <w:left w:val="none" w:sz="0" w:space="0" w:color="auto"/>
        <w:bottom w:val="none" w:sz="0" w:space="0" w:color="auto"/>
        <w:right w:val="none" w:sz="0" w:space="0" w:color="auto"/>
      </w:divBdr>
    </w:div>
    <w:div w:id="948969247">
      <w:marLeft w:val="0"/>
      <w:marRight w:val="0"/>
      <w:marTop w:val="0"/>
      <w:marBottom w:val="0"/>
      <w:divBdr>
        <w:top w:val="none" w:sz="0" w:space="0" w:color="auto"/>
        <w:left w:val="none" w:sz="0" w:space="0" w:color="auto"/>
        <w:bottom w:val="none" w:sz="0" w:space="0" w:color="auto"/>
        <w:right w:val="none" w:sz="0" w:space="0" w:color="auto"/>
      </w:divBdr>
    </w:div>
    <w:div w:id="948969248">
      <w:marLeft w:val="0"/>
      <w:marRight w:val="0"/>
      <w:marTop w:val="0"/>
      <w:marBottom w:val="0"/>
      <w:divBdr>
        <w:top w:val="none" w:sz="0" w:space="0" w:color="auto"/>
        <w:left w:val="none" w:sz="0" w:space="0" w:color="auto"/>
        <w:bottom w:val="none" w:sz="0" w:space="0" w:color="auto"/>
        <w:right w:val="none" w:sz="0" w:space="0" w:color="auto"/>
      </w:divBdr>
    </w:div>
    <w:div w:id="948969249">
      <w:marLeft w:val="0"/>
      <w:marRight w:val="0"/>
      <w:marTop w:val="0"/>
      <w:marBottom w:val="0"/>
      <w:divBdr>
        <w:top w:val="none" w:sz="0" w:space="0" w:color="auto"/>
        <w:left w:val="none" w:sz="0" w:space="0" w:color="auto"/>
        <w:bottom w:val="none" w:sz="0" w:space="0" w:color="auto"/>
        <w:right w:val="none" w:sz="0" w:space="0" w:color="auto"/>
      </w:divBdr>
    </w:div>
    <w:div w:id="948969250">
      <w:marLeft w:val="0"/>
      <w:marRight w:val="0"/>
      <w:marTop w:val="0"/>
      <w:marBottom w:val="0"/>
      <w:divBdr>
        <w:top w:val="none" w:sz="0" w:space="0" w:color="auto"/>
        <w:left w:val="none" w:sz="0" w:space="0" w:color="auto"/>
        <w:bottom w:val="none" w:sz="0" w:space="0" w:color="auto"/>
        <w:right w:val="none" w:sz="0" w:space="0" w:color="auto"/>
      </w:divBdr>
    </w:div>
    <w:div w:id="948969251">
      <w:marLeft w:val="0"/>
      <w:marRight w:val="0"/>
      <w:marTop w:val="0"/>
      <w:marBottom w:val="0"/>
      <w:divBdr>
        <w:top w:val="none" w:sz="0" w:space="0" w:color="auto"/>
        <w:left w:val="none" w:sz="0" w:space="0" w:color="auto"/>
        <w:bottom w:val="none" w:sz="0" w:space="0" w:color="auto"/>
        <w:right w:val="none" w:sz="0" w:space="0" w:color="auto"/>
      </w:divBdr>
    </w:div>
    <w:div w:id="948969252">
      <w:marLeft w:val="0"/>
      <w:marRight w:val="0"/>
      <w:marTop w:val="0"/>
      <w:marBottom w:val="0"/>
      <w:divBdr>
        <w:top w:val="none" w:sz="0" w:space="0" w:color="auto"/>
        <w:left w:val="none" w:sz="0" w:space="0" w:color="auto"/>
        <w:bottom w:val="none" w:sz="0" w:space="0" w:color="auto"/>
        <w:right w:val="none" w:sz="0" w:space="0" w:color="auto"/>
      </w:divBdr>
    </w:div>
    <w:div w:id="9489692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5</Pages>
  <Words>355</Words>
  <Characters>2029</Characters>
  <Application>Microsoft Office Word</Application>
  <DocSecurity>0</DocSecurity>
  <Lines>16</Lines>
  <Paragraphs>4</Paragraphs>
  <ScaleCrop>false</ScaleCrop>
  <Company>Microsoft</Company>
  <LinksUpToDate>false</LinksUpToDate>
  <CharactersWithSpaces>2380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fx</cp:lastModifiedBy>
  <cp:revision>116</cp:revision>
  <cp:lastPrinted>2018-04-17T01:20:00Z</cp:lastPrinted>
  <dcterms:created xsi:type="dcterms:W3CDTF">2018-04-17T01:05:00Z</dcterms:created>
  <dcterms:modified xsi:type="dcterms:W3CDTF">2019-10-10T01:42:00Z</dcterms:modified>
</cp:coreProperties>
</file>